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FA" w:rsidRDefault="00805CFA" w:rsidP="00805CFA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lt-LT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  <w:lang w:eastAsia="lt-LT"/>
        </w:rPr>
        <w:t xml:space="preserve">                                                                                                   </w:t>
      </w:r>
      <w:r>
        <w:rPr>
          <w:noProof/>
          <w:lang w:eastAsia="lt-LT"/>
        </w:rPr>
        <w:drawing>
          <wp:inline distT="0" distB="0" distL="0" distR="0" wp14:anchorId="0791E721" wp14:editId="035C98EF">
            <wp:extent cx="1647825" cy="381000"/>
            <wp:effectExtent l="0" t="0" r="9525" b="0"/>
            <wp:docPr id="1" name="Picture 2" descr="Description: Klaipėdos miesto visuomenės sveikatos biuras_logo_1 - sumazintas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Klaipėdos miesto visuomenės sveikatos biuras_logo_1 - sumazintas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FA" w:rsidRDefault="00805CFA" w:rsidP="00805CFA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lt-LT"/>
        </w:rPr>
      </w:pPr>
    </w:p>
    <w:p w:rsidR="00805CFA" w:rsidRDefault="00805CFA" w:rsidP="00805CFA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lt-LT"/>
        </w:rPr>
      </w:pPr>
    </w:p>
    <w:p w:rsidR="00805CFA" w:rsidRDefault="00805CFA" w:rsidP="00805CFA">
      <w:pPr>
        <w:spacing w:after="0" w:line="240" w:lineRule="auto"/>
        <w:rPr>
          <w:rFonts w:ascii="Calibri" w:eastAsia="Calibri" w:hAnsi="Calibri" w:cs="Calibri"/>
          <w:sz w:val="28"/>
          <w:szCs w:val="28"/>
          <w:lang w:eastAsia="lt-LT"/>
        </w:rPr>
      </w:pPr>
    </w:p>
    <w:p w:rsidR="00805CFA" w:rsidRPr="00805CFA" w:rsidRDefault="00805CFA" w:rsidP="00805CFA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 w:eastAsia="lt-LT"/>
        </w:rPr>
      </w:pPr>
      <w:r w:rsidRPr="00805CFA">
        <w:rPr>
          <w:rFonts w:ascii="Calibri" w:eastAsia="Calibri" w:hAnsi="Calibri" w:cs="Calibri"/>
          <w:b/>
          <w:sz w:val="40"/>
          <w:szCs w:val="40"/>
          <w:lang w:eastAsia="lt-LT"/>
        </w:rPr>
        <w:t xml:space="preserve">OV </w:t>
      </w:r>
      <w:r w:rsidRPr="00805CFA">
        <w:rPr>
          <w:rFonts w:ascii="Calibri" w:eastAsia="Calibri" w:hAnsi="Calibri" w:cs="Calibri"/>
          <w:sz w:val="28"/>
          <w:szCs w:val="28"/>
          <w:lang w:eastAsia="lt-LT"/>
        </w:rPr>
        <w:t xml:space="preserve">sprendimas,  dėl periodinių profilaktinių tyrimų. Paraudoninti punktai, kurie pakeisti ir yra nauji. Nauja tai, kad pasiskiepijus ir nepilna vakcinacijos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eastAsia="lt-LT"/>
        </w:rPr>
        <w:t>shema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eastAsia="lt-LT"/>
        </w:rPr>
        <w:t xml:space="preserve"> praėjus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eastAsia="lt-LT"/>
        </w:rPr>
        <w:t>nurodytui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eastAsia="lt-LT"/>
        </w:rPr>
        <w:t xml:space="preserve"> terminui bus galima nesitestuoti. Šiuo klausimu atsakymą galime rasti </w:t>
      </w:r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4.2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punkte</w:t>
      </w:r>
      <w:proofErr w:type="spellEnd"/>
      <w:r w:rsidRPr="00805CFA">
        <w:rPr>
          <w:rFonts w:ascii="Calibri" w:eastAsia="Calibri" w:hAnsi="Calibri" w:cs="Calibri"/>
          <w:color w:val="1F497D"/>
          <w:sz w:val="28"/>
          <w:szCs w:val="28"/>
          <w:lang w:val="en-US" w:eastAsia="lt-LT"/>
        </w:rPr>
        <w:t xml:space="preserve">, </w:t>
      </w:r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o visas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pilnas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teisės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aktas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nuorodoje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,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žiūrėti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aktuali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redakciją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 (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atnaujintą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 xml:space="preserve"> </w:t>
      </w:r>
      <w:proofErr w:type="spellStart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versiją</w:t>
      </w:r>
      <w:proofErr w:type="spellEnd"/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)</w:t>
      </w:r>
      <w:r w:rsidRPr="00805CFA">
        <w:rPr>
          <w:rFonts w:ascii="Calibri" w:eastAsia="Calibri" w:hAnsi="Calibri" w:cs="Calibri"/>
          <w:color w:val="1F497D"/>
          <w:sz w:val="28"/>
          <w:szCs w:val="28"/>
          <w:lang w:val="en-US" w:eastAsia="lt-LT"/>
        </w:rPr>
        <w:t>.</w:t>
      </w:r>
    </w:p>
    <w:p w:rsidR="00805CFA" w:rsidRPr="00805CFA" w:rsidRDefault="00805CFA" w:rsidP="00805CFA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 w:eastAsia="lt-LT"/>
        </w:rPr>
      </w:pPr>
    </w:p>
    <w:p w:rsidR="00805CFA" w:rsidRPr="00805CFA" w:rsidRDefault="00805CFA" w:rsidP="00805CFA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 w:eastAsia="lt-LT"/>
        </w:rPr>
      </w:pPr>
      <w:r w:rsidRPr="00805CFA">
        <w:rPr>
          <w:rFonts w:ascii="Calibri" w:eastAsia="Calibri" w:hAnsi="Calibri" w:cs="Calibri"/>
          <w:sz w:val="28"/>
          <w:szCs w:val="28"/>
          <w:lang w:val="en-US" w:eastAsia="lt-LT"/>
        </w:rPr>
        <w:t>Nuoroda:</w:t>
      </w:r>
      <w:hyperlink r:id="rId6" w:history="1">
        <w:r w:rsidRPr="00805CFA">
          <w:rPr>
            <w:rFonts w:ascii="Calibri" w:eastAsia="Calibri" w:hAnsi="Calibri" w:cs="Calibri"/>
            <w:color w:val="0563C1"/>
            <w:sz w:val="28"/>
            <w:szCs w:val="28"/>
            <w:u w:val="single"/>
            <w:lang w:val="en-US" w:eastAsia="lt-LT"/>
          </w:rPr>
          <w:t>https://e-seimas.lrs.lt/portal/legalAct/lt/TAD/fa9c0ad0a1be11eaa51db668f0092944/asr</w:t>
        </w:r>
      </w:hyperlink>
    </w:p>
    <w:p w:rsidR="00805CFA" w:rsidRPr="00805CFA" w:rsidRDefault="00805CFA" w:rsidP="00805CFA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 w:eastAsia="lt-LT"/>
        </w:rPr>
      </w:pP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lt-LT"/>
        </w:rPr>
      </w:pPr>
      <w:r w:rsidRPr="00805CFA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>4.2. neatliekami asmenims:</w:t>
      </w: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lt-LT"/>
        </w:rPr>
      </w:pPr>
      <w:bookmarkStart w:id="1" w:name="part_5614c8b912cf44ae90997d9683eb1718"/>
      <w:bookmarkEnd w:id="1"/>
      <w:r w:rsidRPr="00805CFA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>4.2.1. kurie persirgo COVID-19 liga (</w:t>
      </w:r>
      <w:proofErr w:type="spellStart"/>
      <w:r w:rsidRPr="00805CFA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>koronaviruso</w:t>
      </w:r>
      <w:proofErr w:type="spellEnd"/>
      <w:r w:rsidRPr="00805CFA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 xml:space="preserve"> infekcija):</w:t>
      </w: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lt-LT"/>
        </w:rPr>
      </w:pPr>
      <w:bookmarkStart w:id="2" w:name="part_0f492c8da2b94e0aa97ea450dd819a01"/>
      <w:bookmarkEnd w:id="2"/>
      <w:r w:rsidRPr="00805CFA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>4.2.1.1. kuriems prieš mažiau nei 180 dienų COVID-19 liga (</w:t>
      </w:r>
      <w:proofErr w:type="spellStart"/>
      <w:r w:rsidRPr="00805CFA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>koronaviruso</w:t>
      </w:r>
      <w:proofErr w:type="spellEnd"/>
      <w:r w:rsidRPr="00805CFA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 xml:space="preserve"> infekcija) buvo patvirtinta šio sprendimo 1 punkte nurodytais tyrimų metodais;</w:t>
      </w: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lt-LT"/>
        </w:rPr>
      </w:pPr>
      <w:bookmarkStart w:id="3" w:name="part_f975ee46f31b40afa7e1d41d783c2df5"/>
      <w:bookmarkEnd w:id="3"/>
      <w:r w:rsidRPr="00805CFA">
        <w:rPr>
          <w:rFonts w:ascii="Times New Roman" w:eastAsia="Calibri" w:hAnsi="Times New Roman" w:cs="Times New Roman"/>
          <w:color w:val="000000"/>
          <w:sz w:val="28"/>
          <w:szCs w:val="28"/>
          <w:lang w:eastAsia="lt-LT"/>
        </w:rPr>
        <w:t>4.2.1.2. kurie prieš mažiau nei 60 dienų yra gavę teigiamą serologinio tyrimo atsakymą, išskyrus atvejus, kai serologinis tyrimas atliekamas po vakcinacijos;</w:t>
      </w: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 w:eastAsia="lt-LT"/>
        </w:rPr>
      </w:pPr>
      <w:bookmarkStart w:id="4" w:name="part_245b7f774eed4abe8b2e6be7136123ed"/>
      <w:bookmarkEnd w:id="4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4.2.2. kurie buvo paskiepyti viena iš šių COVID-19 ligos (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koronaviruso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 infekcijos) vakcinų:</w:t>
      </w: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 w:eastAsia="lt-LT"/>
        </w:rPr>
      </w:pPr>
      <w:bookmarkStart w:id="5" w:name="part_de90fc6391e645e986aef24b62474c83"/>
      <w:bookmarkEnd w:id="5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4.2.2.1. praėjus vienai savaitei nuo „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Comirnaty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“ ar „COVID-19 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Vaccine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 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Moderna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“ vakcinos antrosios dozės suleidimo pagal skiepijimo schemą, išskyrus šio sprendimo 4.2.2.5 papunktyje nurodytą atvejį;</w:t>
      </w: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 w:eastAsia="lt-LT"/>
        </w:rPr>
      </w:pPr>
      <w:bookmarkStart w:id="6" w:name="part_956fe9b03fb544568dbefda97e0460e1"/>
      <w:bookmarkEnd w:id="6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4.2.2.2. praėjus 2 savaitėms nuo „COVID-19 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Vaccine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 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Janssen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“ vakcinos dozės suleidimo;</w:t>
      </w: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 w:eastAsia="lt-LT"/>
        </w:rPr>
      </w:pPr>
      <w:bookmarkStart w:id="7" w:name="part_c735bf553fdc49a69609aab59cebaa30"/>
      <w:bookmarkEnd w:id="7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4.2.2.3. praėjus 4 savaitėms, bet ne daugiau kaip 13 savaičių nuo pirmos „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Vaxzevria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“ vakcinos dozės suleidimo, išskyrus šio sprendimo 4.2.2.5 papunktyje nurodytą atvejį</w:t>
      </w:r>
      <w:r w:rsidRPr="00805CFA">
        <w:rPr>
          <w:rFonts w:ascii="Times New Roman" w:eastAsia="Calibri" w:hAnsi="Times New Roman" w:cs="Times New Roman"/>
          <w:strike/>
          <w:color w:val="FF0000"/>
          <w:sz w:val="28"/>
          <w:szCs w:val="28"/>
          <w:lang w:eastAsia="lt-LT"/>
        </w:rPr>
        <w:t>.</w:t>
      </w:r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;</w:t>
      </w: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 w:eastAsia="lt-LT"/>
        </w:rPr>
      </w:pPr>
      <w:bookmarkStart w:id="8" w:name="part_0b48703de159405eb33ac610e69acb34"/>
      <w:bookmarkEnd w:id="8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4.2.2.4. po antros „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Vaxzevria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“ vakcinos dozės suleidimo pagal skiepijimo schemą;</w:t>
      </w:r>
    </w:p>
    <w:p w:rsidR="00805CFA" w:rsidRPr="00805CFA" w:rsidRDefault="00805CFA" w:rsidP="00805C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en-US" w:eastAsia="lt-LT"/>
        </w:rPr>
      </w:pPr>
      <w:bookmarkStart w:id="9" w:name="part_844f1fe74f544508a9342382e0a5b2d2"/>
      <w:bookmarkEnd w:id="9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4.2.2.5. praėjus 2 savaitėms nuo „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Comirnaty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“, „COVID-19 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Vaccine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 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Moderna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“, „COVID-19 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Vaccine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 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Janssen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“ ar „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Vaxzevria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“ vakcinos vienos dozės suleidimo asmeniui, kuris persirgo COVID-19 liga (</w:t>
      </w:r>
      <w:proofErr w:type="spellStart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>koronaviruso</w:t>
      </w:r>
      <w:proofErr w:type="spellEnd"/>
      <w:r w:rsidRPr="00805CFA">
        <w:rPr>
          <w:rFonts w:ascii="Times New Roman" w:eastAsia="Calibri" w:hAnsi="Times New Roman" w:cs="Times New Roman"/>
          <w:color w:val="FF0000"/>
          <w:sz w:val="28"/>
          <w:szCs w:val="28"/>
          <w:lang w:eastAsia="lt-LT"/>
        </w:rPr>
        <w:t xml:space="preserve"> infekcija) ir diagnozė buvo patvirtinta remiantis teigiamu SARS-CoV-2 PGR tyrimo rezultatu;</w:t>
      </w:r>
    </w:p>
    <w:p w:rsidR="00805CFA" w:rsidRPr="00805CFA" w:rsidRDefault="00805CFA" w:rsidP="00805CF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lt-LT"/>
        </w:rPr>
      </w:pPr>
      <w:r w:rsidRPr="00805CF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lt-LT"/>
        </w:rPr>
        <w:t>Papunkčio pakeitimai:</w:t>
      </w:r>
    </w:p>
    <w:p w:rsidR="00805CFA" w:rsidRPr="00805CFA" w:rsidRDefault="00805CFA" w:rsidP="00805C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lt-LT"/>
        </w:rPr>
      </w:pPr>
      <w:r w:rsidRPr="00805CF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lt-LT"/>
        </w:rPr>
        <w:t>Nr. </w:t>
      </w:r>
      <w:hyperlink r:id="rId7" w:tgtFrame="_parent" w:history="1">
        <w:r w:rsidRPr="00805CFA">
          <w:rPr>
            <w:rFonts w:ascii="Times New Roman" w:eastAsia="Calibri" w:hAnsi="Times New Roman" w:cs="Times New Roman"/>
            <w:i/>
            <w:iCs/>
            <w:color w:val="0563C1"/>
            <w:sz w:val="28"/>
            <w:szCs w:val="28"/>
            <w:u w:val="single"/>
            <w:lang w:eastAsia="lt-LT"/>
          </w:rPr>
          <w:t>V-1696</w:t>
        </w:r>
      </w:hyperlink>
      <w:r w:rsidRPr="00805CF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lt-LT"/>
        </w:rPr>
        <w:t xml:space="preserve">, </w:t>
      </w:r>
      <w:r w:rsidRPr="00805CFA"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lang w:eastAsia="lt-LT"/>
        </w:rPr>
        <w:t>2021-07-21</w:t>
      </w:r>
      <w:r w:rsidRPr="00805CF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lt-LT"/>
        </w:rPr>
        <w:t>, paskelbta TAR 2021-07-21, i. k. 2021-16191</w:t>
      </w:r>
    </w:p>
    <w:p w:rsidR="00805CFA" w:rsidRPr="00805CFA" w:rsidRDefault="00805CFA" w:rsidP="00805CFA">
      <w:pPr>
        <w:spacing w:after="0" w:line="240" w:lineRule="auto"/>
        <w:rPr>
          <w:rFonts w:ascii="Calibri" w:eastAsia="Calibri" w:hAnsi="Calibri" w:cs="Calibri"/>
          <w:sz w:val="28"/>
          <w:szCs w:val="28"/>
          <w:lang w:val="en-US" w:eastAsia="lt-LT"/>
        </w:rPr>
      </w:pPr>
    </w:p>
    <w:p w:rsidR="00805CFA" w:rsidRDefault="00805CFA" w:rsidP="00805CFA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 w:eastAsia="lt-LT"/>
        </w:rPr>
      </w:pPr>
    </w:p>
    <w:p w:rsidR="00A0077A" w:rsidRPr="00805CFA" w:rsidRDefault="00A0077A">
      <w:pPr>
        <w:rPr>
          <w:sz w:val="24"/>
          <w:szCs w:val="24"/>
        </w:rPr>
      </w:pPr>
    </w:p>
    <w:sectPr w:rsidR="00A0077A" w:rsidRPr="00805C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54"/>
    <w:rsid w:val="001019E6"/>
    <w:rsid w:val="00805CFA"/>
    <w:rsid w:val="00A0077A"/>
    <w:rsid w:val="00BB5F54"/>
    <w:rsid w:val="00C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8E4C-DA17-4667-86FF-5CBA3532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70a6edb0e9e611eb9f09e7df20500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seimas.lrs.lt/portal/legalAct/lt/TAD/fa9c0ad0a1be11eaa51db668f0092944/as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sveikatosbiuras.l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Administratore</cp:lastModifiedBy>
  <cp:revision>2</cp:revision>
  <dcterms:created xsi:type="dcterms:W3CDTF">2021-07-23T07:45:00Z</dcterms:created>
  <dcterms:modified xsi:type="dcterms:W3CDTF">2021-07-23T07:45:00Z</dcterms:modified>
</cp:coreProperties>
</file>